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10</w:t>
      </w:r>
      <w:r>
        <w:rPr>
          <w:rFonts w:hint="eastAsia"/>
          <w:b/>
          <w:sz w:val="24"/>
          <w:szCs w:val="24"/>
          <w:lang w:val="en-US" w:eastAsia="zh-CN"/>
        </w:rPr>
        <w:t>9</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205315</w:t>
      </w:r>
    </w:p>
    <w:p>
      <w:pPr>
        <w:numPr>
          <w:ilvl w:val="0"/>
          <w:numId w:val="11"/>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w:t>
      </w:r>
      <w:r>
        <w:rPr>
          <w:rFonts w:hint="eastAsia" w:ascii="Arial" w:hAnsi="Arial" w:cs="Arial"/>
          <w:b/>
          <w:bCs/>
          <w:color w:val="000000"/>
          <w:sz w:val="24"/>
          <w:szCs w:val="24"/>
          <w:lang w:val="en-US" w:eastAsia="zh-CN"/>
        </w:rPr>
        <w:t>ug</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0"/>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10.2.1.5</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Load Balancing Enhancements</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highlight w:val="yellow"/>
          <w:lang w:val="en-US" w:eastAsia="zh-CN"/>
        </w:rPr>
      </w:pPr>
      <w:r>
        <w:rPr>
          <w:rFonts w:hint="eastAsia"/>
          <w:lang w:val="en-US" w:eastAsia="zh-CN"/>
        </w:rPr>
        <w:t>In Release 16, MLB has been discussed, and some agreements have been reached. In Release 17, RAN3 should discuss the enhancements based on the agreements of Rel-16. In this contribution, we will further discussed the issue of TNL load and slice level load over different interfaces.</w:t>
      </w:r>
    </w:p>
    <w:p>
      <w:pPr>
        <w:pStyle w:val="2"/>
        <w:rPr>
          <w:rFonts w:hint="eastAsia"/>
          <w:lang w:val="en-US" w:eastAsia="zh-CN"/>
        </w:rPr>
      </w:pPr>
      <w:r>
        <w:rPr>
          <w:rFonts w:hint="eastAsia"/>
          <w:lang w:val="en-US" w:eastAsia="zh-CN"/>
        </w:rPr>
        <w:t>Discussion</w:t>
      </w:r>
      <w:bookmarkStart w:id="3" w:name="OLE_LINK4"/>
      <w:bookmarkStart w:id="4" w:name="OLE_LINK3"/>
      <w:bookmarkStart w:id="5" w:name="OLE_LINK6"/>
    </w:p>
    <w:p>
      <w:pPr>
        <w:pStyle w:val="3"/>
        <w:bidi w:val="0"/>
        <w:rPr>
          <w:rFonts w:hint="default"/>
          <w:b w:val="0"/>
          <w:bCs w:val="0"/>
          <w:sz w:val="28"/>
          <w:szCs w:val="18"/>
          <w:highlight w:val="none"/>
          <w:u w:val="none"/>
          <w:lang w:val="en-US" w:eastAsia="zh-CN"/>
        </w:rPr>
      </w:pPr>
      <w:r>
        <w:rPr>
          <w:rFonts w:hint="eastAsia"/>
          <w:b w:val="0"/>
          <w:bCs w:val="0"/>
          <w:sz w:val="28"/>
          <w:szCs w:val="18"/>
          <w:highlight w:val="none"/>
          <w:u w:val="none"/>
          <w:lang w:val="en-US" w:eastAsia="zh-CN"/>
        </w:rPr>
        <w:t>TNL Load</w:t>
      </w:r>
    </w:p>
    <w:p>
      <w:pPr>
        <w:rPr>
          <w:rFonts w:hint="default"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In disaggregated gNB scenario, i.e. CU-DU split, the TNL load over X2 and Xn should </w:t>
      </w:r>
      <w:r>
        <w:rPr>
          <w:rFonts w:hint="eastAsia" w:cs="Times New Roman"/>
          <w:sz w:val="20"/>
          <w:szCs w:val="20"/>
          <w:highlight w:val="none"/>
          <w:u w:val="none"/>
          <w:lang w:val="en-US" w:eastAsia="zh-CN"/>
        </w:rPr>
        <w:t>be considered by both fronthaul and backhaul links. As the TNL load represents the overall load status of target node, in addition to the S1/NG-U TNL load, the F1-U TNL load should also be reported. Otherwise, it could make the gNB perform incorrect handover for UEs, which wastes the network resources and leads to bad user experience.</w:t>
      </w:r>
    </w:p>
    <w:p>
      <w:pPr>
        <w:rPr>
          <w:rFonts w:hint="eastAsia"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Therefore, For Xn interface, the TNL load should support both NG</w:t>
      </w:r>
      <w:r>
        <w:rPr>
          <w:rFonts w:hint="eastAsia" w:cs="Times New Roman"/>
          <w:sz w:val="20"/>
          <w:szCs w:val="20"/>
          <w:highlight w:val="none"/>
          <w:u w:val="none"/>
          <w:lang w:val="en-US" w:eastAsia="zh-CN"/>
        </w:rPr>
        <w:t>-U</w:t>
      </w:r>
      <w:r>
        <w:rPr>
          <w:rFonts w:hint="eastAsia" w:eastAsia="宋体" w:cs="Times New Roman"/>
          <w:sz w:val="20"/>
          <w:szCs w:val="20"/>
          <w:highlight w:val="none"/>
          <w:u w:val="none"/>
          <w:lang w:val="en-US" w:eastAsia="zh-CN"/>
        </w:rPr>
        <w:t xml:space="preserve"> TNL load and F1</w:t>
      </w:r>
      <w:r>
        <w:rPr>
          <w:rFonts w:hint="eastAsia" w:cs="Times New Roman"/>
          <w:sz w:val="20"/>
          <w:szCs w:val="20"/>
          <w:highlight w:val="none"/>
          <w:u w:val="none"/>
          <w:lang w:val="en-US" w:eastAsia="zh-CN"/>
        </w:rPr>
        <w:t>-U</w:t>
      </w:r>
      <w:r>
        <w:rPr>
          <w:rFonts w:hint="eastAsia" w:eastAsia="宋体" w:cs="Times New Roman"/>
          <w:sz w:val="20"/>
          <w:szCs w:val="20"/>
          <w:highlight w:val="none"/>
          <w:u w:val="none"/>
          <w:lang w:val="en-US" w:eastAsia="zh-CN"/>
        </w:rPr>
        <w:t xml:space="preserve"> TNL load, similarly, the TNL load over </w:t>
      </w:r>
      <w:r>
        <w:rPr>
          <w:rFonts w:hint="eastAsia" w:cs="Times New Roman"/>
          <w:sz w:val="20"/>
          <w:szCs w:val="20"/>
          <w:highlight w:val="none"/>
          <w:u w:val="none"/>
          <w:lang w:val="en-US" w:eastAsia="zh-CN"/>
        </w:rPr>
        <w:t xml:space="preserve">EN-DC </w:t>
      </w:r>
      <w:r>
        <w:rPr>
          <w:rFonts w:hint="eastAsia" w:eastAsia="宋体" w:cs="Times New Roman"/>
          <w:sz w:val="20"/>
          <w:szCs w:val="20"/>
          <w:highlight w:val="none"/>
          <w:u w:val="none"/>
          <w:lang w:val="en-US" w:eastAsia="zh-CN"/>
        </w:rPr>
        <w:t>X2 should support both S1</w:t>
      </w:r>
      <w:r>
        <w:rPr>
          <w:rFonts w:hint="eastAsia" w:cs="Times New Roman"/>
          <w:sz w:val="20"/>
          <w:szCs w:val="20"/>
          <w:highlight w:val="none"/>
          <w:u w:val="none"/>
          <w:lang w:val="en-US" w:eastAsia="zh-CN"/>
        </w:rPr>
        <w:t>-U</w:t>
      </w:r>
      <w:r>
        <w:rPr>
          <w:rFonts w:hint="eastAsia" w:eastAsia="宋体" w:cs="Times New Roman"/>
          <w:sz w:val="20"/>
          <w:szCs w:val="20"/>
          <w:highlight w:val="none"/>
          <w:u w:val="none"/>
          <w:lang w:val="en-US" w:eastAsia="zh-CN"/>
        </w:rPr>
        <w:t xml:space="preserve"> TNL load and F1</w:t>
      </w:r>
      <w:r>
        <w:rPr>
          <w:rFonts w:hint="eastAsia" w:cs="Times New Roman"/>
          <w:sz w:val="20"/>
          <w:szCs w:val="20"/>
          <w:highlight w:val="none"/>
          <w:u w:val="none"/>
          <w:lang w:val="en-US" w:eastAsia="zh-CN"/>
        </w:rPr>
        <w:t>-U</w:t>
      </w:r>
      <w:r>
        <w:rPr>
          <w:rFonts w:hint="eastAsia" w:eastAsia="宋体" w:cs="Times New Roman"/>
          <w:sz w:val="20"/>
          <w:szCs w:val="20"/>
          <w:highlight w:val="none"/>
          <w:u w:val="none"/>
          <w:lang w:val="en-US" w:eastAsia="zh-CN"/>
        </w:rPr>
        <w:t xml:space="preserve"> TNL load. </w:t>
      </w:r>
    </w:p>
    <w:p>
      <w:pPr>
        <w:rPr>
          <w:rFonts w:hint="eastAsia"/>
          <w:b/>
          <w:bCs/>
          <w:highlight w:val="none"/>
          <w:u w:val="none"/>
          <w:lang w:val="en-US" w:eastAsia="zh-CN"/>
        </w:rPr>
      </w:pPr>
      <w:r>
        <w:rPr>
          <w:rFonts w:hint="eastAsia"/>
          <w:b/>
          <w:bCs/>
          <w:highlight w:val="none"/>
          <w:u w:val="none"/>
          <w:lang w:val="en-US" w:eastAsia="zh-CN"/>
        </w:rPr>
        <w:t>Proposal 1: The TNL load for both fronthaul and backhaul links should be reported  over X2 and Xn.</w:t>
      </w:r>
    </w:p>
    <w:p>
      <w:pPr>
        <w:rPr>
          <w:rFonts w:hint="eastAsia"/>
          <w:b/>
          <w:bCs/>
          <w:highlight w:val="none"/>
          <w:u w:val="none"/>
          <w:lang w:val="en-US" w:eastAsia="zh-CN"/>
        </w:rPr>
      </w:pPr>
    </w:p>
    <w:p>
      <w:pPr>
        <w:pStyle w:val="3"/>
        <w:bidi w:val="0"/>
        <w:rPr>
          <w:rFonts w:hint="default"/>
          <w:b w:val="0"/>
          <w:bCs w:val="0"/>
          <w:sz w:val="28"/>
          <w:szCs w:val="18"/>
          <w:highlight w:val="none"/>
          <w:u w:val="none"/>
          <w:lang w:val="en-US" w:eastAsia="zh-CN"/>
        </w:rPr>
      </w:pPr>
      <w:r>
        <w:rPr>
          <w:rFonts w:hint="eastAsia"/>
          <w:b w:val="0"/>
          <w:bCs w:val="0"/>
          <w:sz w:val="28"/>
          <w:szCs w:val="18"/>
          <w:highlight w:val="none"/>
          <w:u w:val="none"/>
          <w:lang w:val="en-US" w:eastAsia="zh-CN"/>
        </w:rPr>
        <w:t>Slice Level Load</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It is still an issue [1] on how NG-RAN node to exchange Slice level load information between each other, especially for  shared Slice(s) scenario. The situation may due to the fact that how NG-RAN node support RAN part of NW slicing in implementation way.</w:t>
      </w:r>
    </w:p>
    <w:tbl>
      <w:tblPr>
        <w:tblStyle w:val="5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tcPr>
          <w:p>
            <w:pPr>
              <w:rPr>
                <w:rFonts w:hint="default" w:eastAsia="宋体"/>
                <w:b/>
                <w:lang w:val="en-US" w:eastAsia="zh-CN"/>
              </w:rPr>
            </w:pPr>
            <w:r>
              <w:rPr>
                <w:rFonts w:hint="eastAsia"/>
                <w:b/>
                <w:lang w:val="en-US" w:eastAsia="zh-CN"/>
              </w:rPr>
              <w:t>TS 38.300</w:t>
            </w:r>
          </w:p>
          <w:p>
            <w:pPr>
              <w:rPr>
                <w:b/>
              </w:rPr>
            </w:pPr>
            <w:r>
              <w:rPr>
                <w:b/>
              </w:rPr>
              <w:t>RAN awareness of slices</w:t>
            </w:r>
          </w:p>
          <w:p>
            <w:pPr>
              <w:pStyle w:val="126"/>
              <w:rPr>
                <w:rFonts w:hint="default" w:cs="Times New Roman"/>
                <w:sz w:val="20"/>
                <w:szCs w:val="20"/>
                <w:highlight w:val="none"/>
                <w:u w:val="none"/>
                <w:vertAlign w:val="baseline"/>
                <w:lang w:val="en-US" w:eastAsia="zh-CN"/>
              </w:rPr>
            </w:pPr>
            <w:r>
              <w:t>-</w:t>
            </w:r>
            <w:r>
              <w:tab/>
            </w:r>
            <w:r>
              <w:t>NG-RAN supports a differentiated handling of traffic for different network slices which have been pre-configured. How NG-RAN supports the slice enabling in terms of NG-RAN functions (i.e. the set of network functions that comprise each slice) is implementation dependent.</w:t>
            </w:r>
          </w:p>
        </w:tc>
      </w:tr>
    </w:tbl>
    <w:p>
      <w:pPr>
        <w:rPr>
          <w:rFonts w:hint="default" w:cs="Times New Roman"/>
          <w:sz w:val="20"/>
          <w:szCs w:val="20"/>
          <w:highlight w:val="none"/>
          <w:u w:val="none"/>
          <w:lang w:val="en-US" w:eastAsia="zh-CN"/>
        </w:rPr>
      </w:pPr>
    </w:p>
    <w:p>
      <w:pPr>
        <w:pStyle w:val="4"/>
        <w:bidi w:val="0"/>
        <w:rPr>
          <w:rFonts w:hint="default"/>
          <w:lang w:val="en-US" w:eastAsia="zh-CN"/>
        </w:rPr>
      </w:pPr>
      <w:r>
        <w:rPr>
          <w:rFonts w:hint="eastAsia"/>
          <w:lang w:val="en-US" w:eastAsia="zh-CN"/>
        </w:rPr>
        <w:t xml:space="preserve">Standard Slice level resource allocation and evaluation </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However,  function implementation does not prevent the standardize slice level resource allocation and statistics on usage of RAN network slice. SA5 in TS 28.541 has already defined the detail of how to allocate slice level resource to NG-RAN node and evaluation on usage of the slice level resource.</w:t>
      </w:r>
    </w:p>
    <w:p>
      <w:pPr>
        <w:rPr>
          <w:rFonts w:hint="eastAsia"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In </w:t>
      </w:r>
      <w:r>
        <w:rPr>
          <w:rFonts w:hint="eastAsia" w:cs="Times New Roman"/>
          <w:sz w:val="20"/>
          <w:szCs w:val="20"/>
          <w:highlight w:val="none"/>
          <w:u w:val="none"/>
          <w:lang w:val="en-US" w:eastAsia="zh-CN"/>
        </w:rPr>
        <w:t xml:space="preserve">the section 4.3.43 of TS 28.541, it is observed that RRM policy consists of two attributes, i.e. the resource type and RRM policy member list. Meanwhile, based on the description of section 4.3.42, the S-NSSAI is one of the members in the RRM policy. </w:t>
      </w:r>
    </w:p>
    <w:tbl>
      <w:tblPr>
        <w:tblStyle w:val="5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tcPr>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-----------------------------------------------------------TS 28.541-------------------------------------------------------------------------</w:t>
            </w:r>
          </w:p>
          <w:p>
            <w:pPr>
              <w:pStyle w:val="4"/>
              <w:numPr>
                <w:ilvl w:val="2"/>
                <w:numId w:val="0"/>
              </w:numPr>
              <w:tabs>
                <w:tab w:val="clear" w:pos="720"/>
              </w:tabs>
              <w:ind w:leftChars="0"/>
              <w:rPr>
                <w:lang w:val="en-US" w:eastAsia="zh-CN"/>
              </w:rPr>
            </w:pPr>
            <w:bookmarkStart w:id="6" w:name="_Toc35878264"/>
            <w:bookmarkStart w:id="7" w:name="_Toc36220080"/>
            <w:bookmarkStart w:id="8" w:name="_Toc36567509"/>
            <w:bookmarkStart w:id="9" w:name="_Toc36474178"/>
            <w:bookmarkStart w:id="10" w:name="_Toc36542450"/>
            <w:bookmarkStart w:id="11" w:name="_Toc36543271"/>
            <w:r>
              <w:rPr>
                <w:lang w:val="en-US" w:eastAsia="zh-CN"/>
              </w:rPr>
              <w:t>4.3.42</w:t>
            </w:r>
            <w:r>
              <w:rPr>
                <w:lang w:val="en-US" w:eastAsia="zh-CN"/>
              </w:rPr>
              <w:tab/>
            </w:r>
            <w:r>
              <w:rPr>
                <w:rFonts w:ascii="Courier New" w:hAnsi="Courier New"/>
                <w:lang w:val="en-US" w:eastAsia="zh-CN"/>
              </w:rPr>
              <w:t>RRMPolicyMember &lt;&lt;dataType&gt;&gt;</w:t>
            </w:r>
            <w:bookmarkEnd w:id="6"/>
            <w:bookmarkEnd w:id="7"/>
            <w:bookmarkEnd w:id="8"/>
            <w:bookmarkEnd w:id="9"/>
            <w:bookmarkEnd w:id="10"/>
            <w:bookmarkEnd w:id="11"/>
          </w:p>
          <w:p>
            <w:pPr>
              <w:pStyle w:val="5"/>
              <w:rPr>
                <w:lang w:val="en-US"/>
              </w:rPr>
            </w:pPr>
            <w:bookmarkStart w:id="12" w:name="_Toc36567510"/>
            <w:bookmarkStart w:id="13" w:name="_Toc36542451"/>
            <w:bookmarkStart w:id="14" w:name="_Toc35878265"/>
            <w:bookmarkStart w:id="15" w:name="_Toc36543272"/>
            <w:bookmarkStart w:id="16" w:name="_Toc36474179"/>
            <w:bookmarkStart w:id="17" w:name="_Toc36220081"/>
            <w:bookmarkStart w:id="18" w:name="_Hlk24128033"/>
            <w:r>
              <w:rPr>
                <w:lang w:val="en-US" w:eastAsia="zh-CN"/>
              </w:rPr>
              <w:t>4</w:t>
            </w:r>
            <w:r>
              <w:rPr>
                <w:lang w:val="en-US"/>
              </w:rPr>
              <w:t>.3.42.1</w:t>
            </w:r>
            <w:r>
              <w:rPr>
                <w:lang w:val="en-US"/>
              </w:rPr>
              <w:tab/>
            </w:r>
            <w:r>
              <w:rPr>
                <w:lang w:val="en-US"/>
              </w:rPr>
              <w:t>Definition</w:t>
            </w:r>
            <w:bookmarkEnd w:id="12"/>
            <w:bookmarkEnd w:id="13"/>
            <w:bookmarkEnd w:id="14"/>
            <w:bookmarkEnd w:id="15"/>
            <w:bookmarkEnd w:id="16"/>
            <w:bookmarkEnd w:id="17"/>
          </w:p>
          <w:p>
            <w:pPr>
              <w:pStyle w:val="63"/>
              <w:rPr>
                <w:lang w:val="en-US"/>
              </w:rPr>
            </w:pPr>
            <w:r>
              <w:rPr>
                <w:rFonts w:ascii="Times New Roman" w:hAnsi="Times New Roman"/>
                <w:sz w:val="20"/>
                <w:lang w:val="en-US"/>
              </w:rPr>
              <w:t>This &lt;&lt;dataType&gt;&gt; represents an RRM Policy member that will be part of a</w:t>
            </w:r>
            <w:r>
              <w:rPr>
                <w:rFonts w:ascii="Courier New" w:hAnsi="Courier New" w:cs="Courier New"/>
                <w:sz w:val="20"/>
                <w:lang w:val="en-US" w:eastAsia="zh-CN"/>
              </w:rPr>
              <w:t xml:space="preserve"> rRMPolicyMemberList</w:t>
            </w:r>
            <w:r>
              <w:rPr>
                <w:rFonts w:ascii="Times New Roman" w:hAnsi="Times New Roman"/>
                <w:sz w:val="20"/>
                <w:lang w:val="en-US"/>
              </w:rPr>
              <w:t xml:space="preserve">. A </w:t>
            </w:r>
            <w:r>
              <w:rPr>
                <w:rFonts w:ascii="Courier New" w:hAnsi="Courier New" w:cs="Courier New"/>
                <w:sz w:val="20"/>
                <w:highlight w:val="yellow"/>
                <w:lang w:val="en-US" w:eastAsia="zh-CN"/>
              </w:rPr>
              <w:t>RRMPolicyMember</w:t>
            </w:r>
            <w:r>
              <w:rPr>
                <w:rFonts w:ascii="Times New Roman" w:hAnsi="Times New Roman"/>
                <w:sz w:val="20"/>
                <w:lang w:val="en-US"/>
              </w:rPr>
              <w:t xml:space="preserve"> is defined by its</w:t>
            </w:r>
            <w:r>
              <w:rPr>
                <w:lang w:val="en-US"/>
              </w:rPr>
              <w:t xml:space="preserve"> </w:t>
            </w:r>
            <w:r>
              <w:rPr>
                <w:rFonts w:ascii="Courier New" w:hAnsi="Courier New" w:cs="Courier New"/>
                <w:sz w:val="20"/>
                <w:lang w:val="en-US" w:eastAsia="zh-CN"/>
              </w:rPr>
              <w:t>pLMNId</w:t>
            </w:r>
            <w:r>
              <w:rPr>
                <w:lang w:val="en-US"/>
              </w:rPr>
              <w:t xml:space="preserve"> </w:t>
            </w:r>
            <w:r>
              <w:rPr>
                <w:rFonts w:ascii="Times New Roman" w:hAnsi="Times New Roman"/>
                <w:sz w:val="20"/>
                <w:lang w:val="en-US"/>
              </w:rPr>
              <w:t>an</w:t>
            </w:r>
            <w:r>
              <w:rPr>
                <w:rFonts w:ascii="Times New Roman" w:hAnsi="Times New Roman"/>
                <w:sz w:val="20"/>
                <w:highlight w:val="yellow"/>
                <w:lang w:val="en-US"/>
              </w:rPr>
              <w:t xml:space="preserve">d </w:t>
            </w:r>
            <w:r>
              <w:rPr>
                <w:rFonts w:ascii="Courier New" w:hAnsi="Courier New" w:cs="Courier New"/>
                <w:sz w:val="20"/>
                <w:highlight w:val="yellow"/>
                <w:lang w:val="en-US" w:eastAsia="zh-CN"/>
              </w:rPr>
              <w:t>sNSSAI</w:t>
            </w:r>
            <w:r>
              <w:rPr>
                <w:rFonts w:ascii="Times New Roman" w:hAnsi="Times New Roman"/>
                <w:sz w:val="20"/>
                <w:highlight w:val="yellow"/>
                <w:lang w:val="en-US"/>
              </w:rPr>
              <w:t xml:space="preserve"> (S-NSSAI).</w:t>
            </w:r>
            <w:r>
              <w:rPr>
                <w:rFonts w:ascii="Times New Roman" w:hAnsi="Times New Roman"/>
                <w:sz w:val="20"/>
                <w:lang w:val="en-US"/>
              </w:rPr>
              <w:t xml:space="preserve"> The members in a</w:t>
            </w:r>
            <w:r>
              <w:rPr>
                <w:lang w:val="en-US"/>
              </w:rPr>
              <w:t xml:space="preserve"> </w:t>
            </w:r>
            <w:r>
              <w:rPr>
                <w:rFonts w:ascii="Courier New" w:hAnsi="Courier New" w:cs="Courier New"/>
                <w:sz w:val="20"/>
                <w:lang w:val="en-US" w:eastAsia="zh-CN"/>
              </w:rPr>
              <w:t>rRMPolicyMemberList</w:t>
            </w:r>
            <w:r>
              <w:rPr>
                <w:lang w:val="en-US"/>
              </w:rPr>
              <w:t xml:space="preserve"> </w:t>
            </w:r>
            <w:r>
              <w:rPr>
                <w:rFonts w:ascii="Times New Roman" w:hAnsi="Times New Roman"/>
                <w:sz w:val="20"/>
                <w:lang w:val="en-US"/>
              </w:rPr>
              <w:t>is assigned a specific amount of RRM resources based on settings in</w:t>
            </w:r>
            <w:r>
              <w:rPr>
                <w:lang w:val="en-US"/>
              </w:rPr>
              <w:t xml:space="preserve"> </w:t>
            </w:r>
            <w:r>
              <w:rPr>
                <w:rFonts w:ascii="Courier New" w:hAnsi="Courier New" w:cs="Courier New"/>
                <w:i/>
                <w:sz w:val="20"/>
                <w:lang w:val="en-US" w:eastAsia="zh-CN"/>
              </w:rPr>
              <w:t>RRMPolicy_.</w:t>
            </w:r>
          </w:p>
          <w:bookmarkEnd w:id="18"/>
          <w:p>
            <w:pPr>
              <w:pStyle w:val="5"/>
              <w:rPr>
                <w:lang w:val="en-US"/>
              </w:rPr>
            </w:pPr>
            <w:bookmarkStart w:id="19" w:name="_Toc36220082"/>
            <w:bookmarkStart w:id="20" w:name="_Toc36542452"/>
            <w:bookmarkStart w:id="21" w:name="_Toc36543273"/>
            <w:bookmarkStart w:id="22" w:name="_Toc35878266"/>
            <w:bookmarkStart w:id="23" w:name="_Toc36567511"/>
            <w:bookmarkStart w:id="24" w:name="_Toc36474180"/>
            <w:r>
              <w:rPr>
                <w:lang w:val="en-US" w:eastAsia="zh-CN"/>
              </w:rPr>
              <w:t>4</w:t>
            </w:r>
            <w:r>
              <w:rPr>
                <w:lang w:val="en-US"/>
              </w:rPr>
              <w:t>.3.42.2</w:t>
            </w:r>
            <w:r>
              <w:rPr>
                <w:lang w:val="en-US"/>
              </w:rPr>
              <w:tab/>
            </w:r>
            <w:r>
              <w:rPr>
                <w:lang w:val="en-US"/>
              </w:rPr>
              <w:t>Attributes</w:t>
            </w:r>
            <w:bookmarkEnd w:id="19"/>
            <w:bookmarkEnd w:id="20"/>
            <w:bookmarkEnd w:id="21"/>
            <w:bookmarkEnd w:id="22"/>
            <w:bookmarkEnd w:id="23"/>
            <w:bookmarkEnd w:id="24"/>
          </w:p>
          <w:tbl>
            <w:tblPr>
              <w:tblStyle w:val="51"/>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992"/>
              <w:gridCol w:w="1276"/>
              <w:gridCol w:w="1134"/>
              <w:gridCol w:w="1134"/>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8" w:hRule="atLeast"/>
                <w:jc w:val="center"/>
              </w:trPr>
              <w:tc>
                <w:tcPr>
                  <w:tcW w:w="3936"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Attribute name</w:t>
                  </w:r>
                </w:p>
              </w:tc>
              <w:tc>
                <w:tcPr>
                  <w:tcW w:w="992"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Support Qualifier</w:t>
                  </w:r>
                </w:p>
              </w:tc>
              <w:tc>
                <w:tcPr>
                  <w:tcW w:w="1276"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isReadable</w:t>
                  </w:r>
                </w:p>
              </w:tc>
              <w:tc>
                <w:tcPr>
                  <w:tcW w:w="1134"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isWritable</w:t>
                  </w:r>
                </w:p>
              </w:tc>
              <w:tc>
                <w:tcPr>
                  <w:tcW w:w="1134" w:type="dxa"/>
                  <w:shd w:val="pct10" w:color="auto" w:fill="FFFFFF"/>
                  <w:vAlign w:val="center"/>
                </w:tcPr>
                <w:p>
                  <w:pPr>
                    <w:keepNext/>
                    <w:keepLines/>
                    <w:spacing w:after="0"/>
                    <w:jc w:val="center"/>
                    <w:rPr>
                      <w:rFonts w:ascii="Arial" w:hAnsi="Arial"/>
                      <w:b/>
                      <w:sz w:val="18"/>
                      <w:lang w:val="en-US"/>
                    </w:rPr>
                  </w:pPr>
                  <w:r>
                    <w:rPr>
                      <w:rFonts w:ascii="Arial" w:hAnsi="Arial" w:cs="Arial"/>
                      <w:b/>
                      <w:bCs/>
                      <w:sz w:val="18"/>
                      <w:szCs w:val="18"/>
                      <w:lang w:val="en-US"/>
                    </w:rPr>
                    <w:t>isInvariant</w:t>
                  </w:r>
                </w:p>
              </w:tc>
              <w:tc>
                <w:tcPr>
                  <w:tcW w:w="1385"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36" w:type="dxa"/>
                </w:tcPr>
                <w:p>
                  <w:pPr>
                    <w:keepNext/>
                    <w:keepLines/>
                    <w:spacing w:after="0"/>
                    <w:rPr>
                      <w:rFonts w:ascii="Courier New" w:hAnsi="Courier New" w:cs="Courier New"/>
                      <w:sz w:val="18"/>
                      <w:lang w:val="en-US" w:eastAsia="zh-CN"/>
                    </w:rPr>
                  </w:pPr>
                  <w:r>
                    <w:rPr>
                      <w:rFonts w:ascii="Courier New" w:hAnsi="Courier New" w:cs="Courier New"/>
                      <w:sz w:val="18"/>
                      <w:lang w:val="en-US" w:eastAsia="zh-CN"/>
                    </w:rPr>
                    <w:t>pLMNId</w:t>
                  </w:r>
                </w:p>
              </w:tc>
              <w:tc>
                <w:tcPr>
                  <w:tcW w:w="992" w:type="dxa"/>
                </w:tcPr>
                <w:p>
                  <w:pPr>
                    <w:keepNext/>
                    <w:keepLines/>
                    <w:spacing w:after="0"/>
                    <w:jc w:val="center"/>
                    <w:rPr>
                      <w:rFonts w:ascii="Arial" w:hAnsi="Arial"/>
                      <w:sz w:val="18"/>
                      <w:lang w:val="en-US" w:eastAsia="zh-CN"/>
                    </w:rPr>
                  </w:pPr>
                  <w:r>
                    <w:rPr>
                      <w:rFonts w:ascii="Arial" w:hAnsi="Arial"/>
                      <w:sz w:val="18"/>
                      <w:lang w:val="en-US" w:eastAsia="zh-CN"/>
                    </w:rPr>
                    <w:t>M</w:t>
                  </w:r>
                </w:p>
              </w:tc>
              <w:tc>
                <w:tcPr>
                  <w:tcW w:w="1276"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F</w:t>
                  </w:r>
                </w:p>
              </w:tc>
              <w:tc>
                <w:tcPr>
                  <w:tcW w:w="1385" w:type="dxa"/>
                </w:tcPr>
                <w:p>
                  <w:pPr>
                    <w:keepNext/>
                    <w:keepLines/>
                    <w:spacing w:after="0"/>
                    <w:jc w:val="center"/>
                    <w:rPr>
                      <w:rFonts w:ascii="Arial" w:hAnsi="Arial"/>
                      <w:sz w:val="18"/>
                      <w:lang w:val="en-US" w:eastAsia="zh-CN"/>
                    </w:rPr>
                  </w:pPr>
                  <w:r>
                    <w:rPr>
                      <w:rFonts w:ascii="Arial" w:hAnsi="Arial"/>
                      <w:sz w:val="18"/>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36" w:type="dxa"/>
                </w:tcPr>
                <w:p>
                  <w:pPr>
                    <w:keepNext/>
                    <w:keepLines/>
                    <w:spacing w:after="0"/>
                    <w:rPr>
                      <w:rFonts w:ascii="Courier New" w:hAnsi="Courier New" w:cs="Courier New"/>
                      <w:sz w:val="18"/>
                      <w:lang w:val="en-US" w:eastAsia="zh-CN"/>
                    </w:rPr>
                  </w:pPr>
                  <w:bookmarkStart w:id="25" w:name="_Hlk20830886"/>
                  <w:r>
                    <w:rPr>
                      <w:rFonts w:ascii="Courier New" w:hAnsi="Courier New" w:cs="Courier New"/>
                      <w:sz w:val="18"/>
                      <w:lang w:val="en-US" w:eastAsia="zh-CN"/>
                    </w:rPr>
                    <w:t>sNSSAI</w:t>
                  </w:r>
                  <w:bookmarkEnd w:id="25"/>
                </w:p>
              </w:tc>
              <w:tc>
                <w:tcPr>
                  <w:tcW w:w="992" w:type="dxa"/>
                </w:tcPr>
                <w:p>
                  <w:pPr>
                    <w:keepNext/>
                    <w:keepLines/>
                    <w:spacing w:after="0"/>
                    <w:jc w:val="center"/>
                    <w:rPr>
                      <w:rFonts w:ascii="Arial" w:hAnsi="Arial"/>
                      <w:sz w:val="18"/>
                      <w:lang w:val="en-US" w:eastAsia="zh-CN"/>
                    </w:rPr>
                  </w:pPr>
                  <w:r>
                    <w:rPr>
                      <w:rFonts w:ascii="Arial" w:hAnsi="Arial"/>
                      <w:sz w:val="18"/>
                      <w:lang w:val="en-US" w:eastAsia="zh-CN"/>
                    </w:rPr>
                    <w:t>CM</w:t>
                  </w:r>
                </w:p>
              </w:tc>
              <w:tc>
                <w:tcPr>
                  <w:tcW w:w="1276"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F</w:t>
                  </w:r>
                </w:p>
              </w:tc>
              <w:tc>
                <w:tcPr>
                  <w:tcW w:w="1385" w:type="dxa"/>
                </w:tcPr>
                <w:p>
                  <w:pPr>
                    <w:keepNext/>
                    <w:keepLines/>
                    <w:spacing w:after="0"/>
                    <w:jc w:val="center"/>
                    <w:rPr>
                      <w:rFonts w:ascii="Arial" w:hAnsi="Arial"/>
                      <w:sz w:val="18"/>
                      <w:lang w:val="en-US" w:eastAsia="zh-CN"/>
                    </w:rPr>
                  </w:pPr>
                  <w:r>
                    <w:rPr>
                      <w:rFonts w:ascii="Arial" w:hAnsi="Arial"/>
                      <w:sz w:val="18"/>
                      <w:lang w:val="en-US" w:eastAsia="zh-CN"/>
                    </w:rPr>
                    <w:t>T</w:t>
                  </w:r>
                </w:p>
              </w:tc>
            </w:tr>
          </w:tbl>
          <w:p>
            <w:pPr>
              <w:rPr>
                <w:rFonts w:hint="eastAsia" w:cs="Times New Roman"/>
                <w:sz w:val="20"/>
                <w:szCs w:val="20"/>
                <w:highlight w:val="none"/>
                <w:u w:val="none"/>
                <w:lang w:val="en-US" w:eastAsia="zh-CN"/>
              </w:rPr>
            </w:pPr>
          </w:p>
          <w:p>
            <w:pPr>
              <w:pStyle w:val="4"/>
              <w:numPr>
                <w:ilvl w:val="2"/>
                <w:numId w:val="0"/>
              </w:numPr>
              <w:tabs>
                <w:tab w:val="clear" w:pos="720"/>
              </w:tabs>
              <w:ind w:leftChars="0"/>
              <w:rPr>
                <w:lang w:val="en-US" w:eastAsia="zh-CN"/>
              </w:rPr>
            </w:pPr>
            <w:bookmarkStart w:id="26" w:name="_Toc35878269"/>
            <w:bookmarkStart w:id="27" w:name="_Toc36567514"/>
            <w:bookmarkStart w:id="28" w:name="_Toc36543276"/>
            <w:bookmarkStart w:id="29" w:name="_Toc36474183"/>
            <w:bookmarkStart w:id="30" w:name="_Toc36542455"/>
            <w:bookmarkStart w:id="31" w:name="_Toc36220085"/>
            <w:r>
              <w:rPr>
                <w:lang w:val="en-US" w:eastAsia="zh-CN"/>
              </w:rPr>
              <w:t>4.3.43</w:t>
            </w:r>
            <w:r>
              <w:rPr>
                <w:lang w:val="en-US" w:eastAsia="zh-CN"/>
              </w:rPr>
              <w:tab/>
            </w:r>
            <w:r>
              <w:rPr>
                <w:rFonts w:ascii="Courier New" w:hAnsi="Courier New"/>
                <w:i/>
                <w:lang w:val="en-US" w:eastAsia="zh-CN"/>
              </w:rPr>
              <w:t>RRMPolicy_</w:t>
            </w:r>
            <w:bookmarkEnd w:id="26"/>
            <w:bookmarkEnd w:id="27"/>
            <w:bookmarkEnd w:id="28"/>
            <w:bookmarkEnd w:id="29"/>
            <w:bookmarkEnd w:id="30"/>
            <w:bookmarkEnd w:id="31"/>
          </w:p>
          <w:p>
            <w:pPr>
              <w:pStyle w:val="5"/>
              <w:rPr>
                <w:lang w:val="en-US"/>
              </w:rPr>
            </w:pPr>
            <w:bookmarkStart w:id="32" w:name="_Toc36567515"/>
            <w:bookmarkStart w:id="33" w:name="_Toc36543277"/>
            <w:bookmarkStart w:id="34" w:name="_Toc36474184"/>
            <w:bookmarkStart w:id="35" w:name="_Toc36542456"/>
            <w:bookmarkStart w:id="36" w:name="_Toc36220086"/>
            <w:bookmarkStart w:id="37" w:name="_Toc35878270"/>
            <w:r>
              <w:rPr>
                <w:lang w:val="en-US" w:eastAsia="zh-CN"/>
              </w:rPr>
              <w:t>4</w:t>
            </w:r>
            <w:r>
              <w:rPr>
                <w:lang w:val="en-US"/>
              </w:rPr>
              <w:t>.3.43.1</w:t>
            </w:r>
            <w:r>
              <w:rPr>
                <w:lang w:val="en-US"/>
              </w:rPr>
              <w:tab/>
            </w:r>
            <w:r>
              <w:rPr>
                <w:lang w:val="en-US"/>
              </w:rPr>
              <w:t>Definition</w:t>
            </w:r>
            <w:bookmarkEnd w:id="32"/>
            <w:bookmarkEnd w:id="33"/>
            <w:bookmarkEnd w:id="34"/>
            <w:bookmarkEnd w:id="35"/>
            <w:bookmarkEnd w:id="36"/>
            <w:bookmarkEnd w:id="37"/>
          </w:p>
          <w:p>
            <w:pPr>
              <w:rPr>
                <w:i/>
                <w:iCs/>
                <w:lang w:val="en-US"/>
              </w:rPr>
            </w:pPr>
            <w:r>
              <w:rPr>
                <w:lang w:val="en-US"/>
              </w:rPr>
              <w:t>This IOC represents the properties of an abstract</w:t>
            </w:r>
            <w:r>
              <w:rPr>
                <w:highlight w:val="yellow"/>
                <w:lang w:val="en-US"/>
              </w:rPr>
              <w:t xml:space="preserve"> </w:t>
            </w:r>
            <w:r>
              <w:rPr>
                <w:rFonts w:ascii="Courier New" w:hAnsi="Courier New" w:cs="Courier New"/>
                <w:highlight w:val="yellow"/>
                <w:lang w:val="en-US" w:eastAsia="zh-CN"/>
              </w:rPr>
              <w:t>RRMPolicy</w:t>
            </w:r>
            <w:r>
              <w:rPr>
                <w:lang w:val="en-US"/>
              </w:rPr>
              <w:t xml:space="preserve">. The </w:t>
            </w:r>
            <w:r>
              <w:rPr>
                <w:rFonts w:ascii="Courier New" w:hAnsi="Courier New" w:cs="Courier New"/>
                <w:i/>
                <w:lang w:val="en-US" w:eastAsia="zh-CN"/>
              </w:rPr>
              <w:t>RRMPolicy_</w:t>
            </w:r>
            <w:r>
              <w:rPr>
                <w:lang w:val="en-US"/>
              </w:rPr>
              <w:t xml:space="preserve"> IOC needs to be subclassed to be instantiated. It defines two attributes apart from those inherited from </w:t>
            </w:r>
            <w:r>
              <w:rPr>
                <w:rFonts w:ascii="Courier New" w:hAnsi="Courier New" w:cs="Courier New"/>
                <w:lang w:val="en-US" w:eastAsia="zh-CN"/>
              </w:rPr>
              <w:t>TOP</w:t>
            </w:r>
            <w:r>
              <w:rPr>
                <w:lang w:val="en-US"/>
              </w:rPr>
              <w:t xml:space="preserve"> IOC,</w:t>
            </w:r>
            <w:r>
              <w:rPr>
                <w:highlight w:val="yellow"/>
                <w:lang w:val="en-US"/>
              </w:rPr>
              <w:t xml:space="preserve"> the </w:t>
            </w:r>
            <w:r>
              <w:rPr>
                <w:rFonts w:ascii="Courier New" w:hAnsi="Courier New" w:cs="Courier New"/>
                <w:highlight w:val="yellow"/>
                <w:lang w:val="en-US" w:eastAsia="zh-CN"/>
              </w:rPr>
              <w:t>resourceType</w:t>
            </w:r>
            <w:r>
              <w:rPr>
                <w:highlight w:val="yellow"/>
                <w:lang w:val="en-US"/>
              </w:rPr>
              <w:t xml:space="preserve"> attribute defines type of resource (PRB, RRC connected users, DRB usage etc.)</w:t>
            </w:r>
            <w:r>
              <w:rPr>
                <w:lang w:val="en-US"/>
              </w:rPr>
              <w:t xml:space="preserve"> and the </w:t>
            </w:r>
            <w:r>
              <w:rPr>
                <w:rFonts w:ascii="Courier New" w:hAnsi="Courier New" w:cs="Courier New"/>
                <w:lang w:val="en-US" w:eastAsia="zh-CN"/>
              </w:rPr>
              <w:t xml:space="preserve">rRMPolicyMemberList </w:t>
            </w:r>
            <w:r>
              <w:rPr>
                <w:lang w:val="en-US"/>
              </w:rPr>
              <w:t>attribute defines the</w:t>
            </w:r>
            <w:r>
              <w:rPr>
                <w:rFonts w:ascii="Courier New" w:hAnsi="Courier New" w:cs="Courier New"/>
                <w:lang w:val="en-US" w:eastAsia="zh-CN"/>
              </w:rPr>
              <w:t xml:space="preserve"> </w:t>
            </w:r>
            <w:r>
              <w:rPr>
                <w:rFonts w:ascii="Courier New" w:hAnsi="Courier New" w:cs="Courier New"/>
                <w:highlight w:val="yellow"/>
                <w:lang w:val="en-US" w:eastAsia="zh-CN"/>
              </w:rPr>
              <w:t>RRMPolicyMember(s)</w:t>
            </w:r>
            <w:r>
              <w:rPr>
                <w:lang w:val="en-US"/>
              </w:rPr>
              <w:t xml:space="preserve">that is subject to this policy. An RRM resource (defined in </w:t>
            </w:r>
            <w:r>
              <w:rPr>
                <w:rFonts w:ascii="Courier New" w:hAnsi="Courier New" w:cs="Courier New"/>
                <w:lang w:val="en-US" w:eastAsia="zh-CN"/>
              </w:rPr>
              <w:t>resourceType</w:t>
            </w:r>
            <w:r>
              <w:rPr>
                <w:lang w:val="en-US"/>
              </w:rPr>
              <w:t xml:space="preserve"> attribute) is located in </w:t>
            </w:r>
            <w:r>
              <w:rPr>
                <w:rFonts w:ascii="Courier New" w:hAnsi="Courier New" w:cs="Courier New"/>
                <w:lang w:val="en-US" w:eastAsia="zh-CN"/>
              </w:rPr>
              <w:t>NRCellDU</w:t>
            </w:r>
            <w:r>
              <w:rPr>
                <w:lang w:val="en-US"/>
              </w:rPr>
              <w:t>,</w:t>
            </w:r>
            <w:r>
              <w:rPr>
                <w:rFonts w:ascii="Courier New" w:hAnsi="Courier New" w:cs="Courier New"/>
                <w:lang w:val="en-US" w:eastAsia="zh-CN"/>
              </w:rPr>
              <w:t xml:space="preserve"> NRCellCU, GNBDUFunction, GNBCUCPFunction</w:t>
            </w:r>
            <w:r>
              <w:rPr>
                <w:lang w:val="en-US"/>
              </w:rPr>
              <w:t xml:space="preserve"> or in </w:t>
            </w:r>
            <w:r>
              <w:rPr>
                <w:rFonts w:ascii="Courier New" w:hAnsi="Courier New" w:cs="Courier New"/>
                <w:lang w:val="en-US"/>
              </w:rPr>
              <w:t>GNBCUUPFunction</w:t>
            </w:r>
            <w:r>
              <w:rPr>
                <w:lang w:val="en-US"/>
              </w:rPr>
              <w:t xml:space="preserve">. The </w:t>
            </w:r>
            <w:r>
              <w:rPr>
                <w:rFonts w:ascii="Courier New" w:hAnsi="Courier New" w:cs="Courier New"/>
                <w:lang w:val="en-US" w:eastAsia="zh-CN"/>
              </w:rPr>
              <w:t>RRMPolicyRatio</w:t>
            </w:r>
            <w:r>
              <w:rPr>
                <w:lang w:val="en-US"/>
              </w:rPr>
              <w:t xml:space="preserve"> IOC is one realization of a </w:t>
            </w:r>
            <w:r>
              <w:rPr>
                <w:rFonts w:ascii="Courier New" w:hAnsi="Courier New" w:cs="Courier New"/>
                <w:i/>
                <w:lang w:val="en-US" w:eastAsia="zh-CN"/>
              </w:rPr>
              <w:t>RRMPolicy_</w:t>
            </w:r>
            <w:r>
              <w:rPr>
                <w:lang w:val="en-US"/>
              </w:rPr>
              <w:t xml:space="preserve"> IOC, see the inheritance in Figure 4.2.1.2-1. This RRM framework allows adding new policies, both standardized (like</w:t>
            </w:r>
            <w:r>
              <w:rPr>
                <w:i/>
                <w:iCs/>
                <w:lang w:val="en-US"/>
              </w:rPr>
              <w:t xml:space="preserve"> </w:t>
            </w:r>
            <w:r>
              <w:rPr>
                <w:rFonts w:ascii="Courier New" w:hAnsi="Courier New" w:cs="Courier New"/>
                <w:lang w:val="en-US" w:eastAsia="zh-CN"/>
              </w:rPr>
              <w:t>RRMPolicyRatio</w:t>
            </w:r>
            <w:r>
              <w:rPr>
                <w:lang w:val="en-US"/>
              </w:rPr>
              <w:t xml:space="preserve">) or as vendor specific, by inheriting from the abstract </w:t>
            </w:r>
            <w:r>
              <w:rPr>
                <w:rFonts w:ascii="Courier New" w:hAnsi="Courier New" w:cs="Courier New"/>
                <w:i/>
                <w:lang w:val="en-US" w:eastAsia="zh-CN"/>
              </w:rPr>
              <w:t>RRMPolicy_ IOC</w:t>
            </w:r>
            <w:r>
              <w:rPr>
                <w:i/>
                <w:iCs/>
                <w:lang w:val="en-US"/>
              </w:rPr>
              <w:t xml:space="preserve">. </w:t>
            </w:r>
          </w:p>
          <w:p>
            <w:pPr>
              <w:pStyle w:val="5"/>
              <w:rPr>
                <w:lang w:val="en-US"/>
              </w:rPr>
            </w:pPr>
            <w:bookmarkStart w:id="38" w:name="_Toc36542457"/>
            <w:bookmarkStart w:id="39" w:name="_Toc35878271"/>
            <w:bookmarkStart w:id="40" w:name="_Toc36543278"/>
            <w:bookmarkStart w:id="41" w:name="_Toc36474185"/>
            <w:bookmarkStart w:id="42" w:name="_Toc36567516"/>
            <w:bookmarkStart w:id="43" w:name="_Toc36220087"/>
            <w:r>
              <w:rPr>
                <w:lang w:val="en-US" w:eastAsia="zh-CN"/>
              </w:rPr>
              <w:t>4</w:t>
            </w:r>
            <w:r>
              <w:rPr>
                <w:lang w:val="en-US"/>
              </w:rPr>
              <w:t>.3.43.2</w:t>
            </w:r>
            <w:r>
              <w:rPr>
                <w:lang w:val="en-US"/>
              </w:rPr>
              <w:tab/>
            </w:r>
            <w:r>
              <w:rPr>
                <w:lang w:val="en-US"/>
              </w:rPr>
              <w:t>Attributes</w:t>
            </w:r>
            <w:bookmarkEnd w:id="38"/>
            <w:bookmarkEnd w:id="39"/>
            <w:bookmarkEnd w:id="40"/>
            <w:bookmarkEnd w:id="41"/>
            <w:bookmarkEnd w:id="42"/>
            <w:bookmarkEnd w:id="43"/>
          </w:p>
          <w:p>
            <w:r>
              <w:t xml:space="preserve">The </w:t>
            </w:r>
            <w:r>
              <w:rPr>
                <w:rFonts w:ascii="Courier New" w:hAnsi="Courier New" w:cs="Courier New"/>
                <w:i/>
                <w:lang w:val="en-US" w:eastAsia="zh-CN"/>
              </w:rPr>
              <w:t>RRMPolicy_</w:t>
            </w:r>
            <w:r>
              <w:rPr>
                <w:lang w:val="en-US"/>
              </w:rPr>
              <w:t xml:space="preserve"> IOC</w:t>
            </w:r>
            <w:r>
              <w:t xml:space="preserve"> have the following attributes, apart from those inherited from </w:t>
            </w:r>
            <w:r>
              <w:rPr>
                <w:rFonts w:ascii="Courier New" w:hAnsi="Courier New" w:cs="Courier New"/>
                <w:lang w:val="en-US" w:eastAsia="zh-CN"/>
              </w:rPr>
              <w:t xml:space="preserve">TOP </w:t>
            </w:r>
            <w:r>
              <w:t>IOC (defined in TS 28.622 [30]):</w:t>
            </w:r>
          </w:p>
          <w:tbl>
            <w:tblPr>
              <w:tblStyle w:val="51"/>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992"/>
              <w:gridCol w:w="1276"/>
              <w:gridCol w:w="1134"/>
              <w:gridCol w:w="1134"/>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8" w:hRule="atLeast"/>
                <w:jc w:val="center"/>
              </w:trPr>
              <w:tc>
                <w:tcPr>
                  <w:tcW w:w="3936" w:type="dxa"/>
                  <w:shd w:val="pct10" w:color="auto" w:fill="FFFFFF"/>
                  <w:vAlign w:val="center"/>
                </w:tcPr>
                <w:p>
                  <w:pPr>
                    <w:pStyle w:val="77"/>
                    <w:rPr>
                      <w:lang w:val="en-US"/>
                    </w:rPr>
                  </w:pPr>
                  <w:r>
                    <w:rPr>
                      <w:lang w:val="en-US"/>
                    </w:rPr>
                    <w:t>Attribute name</w:t>
                  </w:r>
                </w:p>
              </w:tc>
              <w:tc>
                <w:tcPr>
                  <w:tcW w:w="992" w:type="dxa"/>
                  <w:shd w:val="pct10" w:color="auto" w:fill="FFFFFF"/>
                  <w:vAlign w:val="center"/>
                </w:tcPr>
                <w:p>
                  <w:pPr>
                    <w:pStyle w:val="77"/>
                    <w:rPr>
                      <w:lang w:val="en-US"/>
                    </w:rPr>
                  </w:pPr>
                  <w:r>
                    <w:rPr>
                      <w:lang w:val="en-US"/>
                    </w:rPr>
                    <w:t>Support Qualifier</w:t>
                  </w:r>
                </w:p>
              </w:tc>
              <w:tc>
                <w:tcPr>
                  <w:tcW w:w="1276" w:type="dxa"/>
                  <w:shd w:val="pct10" w:color="auto" w:fill="FFFFFF"/>
                  <w:vAlign w:val="center"/>
                </w:tcPr>
                <w:p>
                  <w:pPr>
                    <w:pStyle w:val="77"/>
                    <w:rPr>
                      <w:lang w:val="en-US"/>
                    </w:rPr>
                  </w:pPr>
                  <w:r>
                    <w:rPr>
                      <w:lang w:val="en-US"/>
                    </w:rPr>
                    <w:t>isReadable</w:t>
                  </w:r>
                </w:p>
              </w:tc>
              <w:tc>
                <w:tcPr>
                  <w:tcW w:w="1134" w:type="dxa"/>
                  <w:shd w:val="pct10" w:color="auto" w:fill="FFFFFF"/>
                  <w:vAlign w:val="center"/>
                </w:tcPr>
                <w:p>
                  <w:pPr>
                    <w:pStyle w:val="77"/>
                    <w:rPr>
                      <w:lang w:val="en-US"/>
                    </w:rPr>
                  </w:pPr>
                  <w:r>
                    <w:rPr>
                      <w:lang w:val="en-US"/>
                    </w:rPr>
                    <w:t>isWritable</w:t>
                  </w:r>
                </w:p>
              </w:tc>
              <w:tc>
                <w:tcPr>
                  <w:tcW w:w="1134" w:type="dxa"/>
                  <w:shd w:val="pct10" w:color="auto" w:fill="FFFFFF"/>
                  <w:vAlign w:val="center"/>
                </w:tcPr>
                <w:p>
                  <w:pPr>
                    <w:pStyle w:val="77"/>
                    <w:rPr>
                      <w:lang w:val="en-US"/>
                    </w:rPr>
                  </w:pPr>
                  <w:r>
                    <w:rPr>
                      <w:rFonts w:cs="Arial"/>
                      <w:bCs/>
                      <w:szCs w:val="18"/>
                      <w:lang w:val="en-US"/>
                    </w:rPr>
                    <w:t>isInvariant</w:t>
                  </w:r>
                </w:p>
              </w:tc>
              <w:tc>
                <w:tcPr>
                  <w:tcW w:w="1385" w:type="dxa"/>
                  <w:shd w:val="pct10" w:color="auto" w:fill="FFFFFF"/>
                  <w:vAlign w:val="center"/>
                </w:tcPr>
                <w:p>
                  <w:pPr>
                    <w:pStyle w:val="77"/>
                    <w:rPr>
                      <w:lang w:val="en-US"/>
                    </w:rPr>
                  </w:pPr>
                  <w:r>
                    <w:rPr>
                      <w:lang w:val="en-US"/>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36" w:type="dxa"/>
                </w:tcPr>
                <w:p>
                  <w:pPr>
                    <w:pStyle w:val="63"/>
                    <w:rPr>
                      <w:rFonts w:ascii="Courier New" w:hAnsi="Courier New" w:cs="Courier New"/>
                      <w:lang w:val="en-US" w:eastAsia="zh-CN"/>
                    </w:rPr>
                  </w:pPr>
                  <w:r>
                    <w:rPr>
                      <w:rFonts w:ascii="Courier New" w:hAnsi="Courier New" w:cs="Courier New"/>
                      <w:lang w:val="en-US" w:eastAsia="zh-CN"/>
                    </w:rPr>
                    <w:t>resourceType</w:t>
                  </w:r>
                </w:p>
              </w:tc>
              <w:tc>
                <w:tcPr>
                  <w:tcW w:w="992" w:type="dxa"/>
                </w:tcPr>
                <w:p>
                  <w:pPr>
                    <w:pStyle w:val="63"/>
                    <w:jc w:val="center"/>
                    <w:rPr>
                      <w:lang w:val="en-US" w:eastAsia="zh-CN"/>
                    </w:rPr>
                  </w:pPr>
                  <w:r>
                    <w:rPr>
                      <w:lang w:val="en-US" w:eastAsia="zh-CN"/>
                    </w:rPr>
                    <w:t>M</w:t>
                  </w:r>
                </w:p>
              </w:tc>
              <w:tc>
                <w:tcPr>
                  <w:tcW w:w="1276" w:type="dxa"/>
                </w:tcPr>
                <w:p>
                  <w:pPr>
                    <w:pStyle w:val="63"/>
                    <w:jc w:val="center"/>
                    <w:rPr>
                      <w:lang w:val="en-US"/>
                    </w:rPr>
                  </w:pPr>
                  <w:r>
                    <w:rPr>
                      <w:lang w:val="en-US"/>
                    </w:rPr>
                    <w:t>T</w:t>
                  </w:r>
                </w:p>
              </w:tc>
              <w:tc>
                <w:tcPr>
                  <w:tcW w:w="1134" w:type="dxa"/>
                </w:tcPr>
                <w:p>
                  <w:pPr>
                    <w:pStyle w:val="63"/>
                    <w:jc w:val="center"/>
                    <w:rPr>
                      <w:lang w:val="en-US"/>
                    </w:rPr>
                  </w:pPr>
                  <w:r>
                    <w:rPr>
                      <w:lang w:val="en-US"/>
                    </w:rPr>
                    <w:t>T</w:t>
                  </w:r>
                </w:p>
              </w:tc>
              <w:tc>
                <w:tcPr>
                  <w:tcW w:w="1134" w:type="dxa"/>
                </w:tcPr>
                <w:p>
                  <w:pPr>
                    <w:pStyle w:val="63"/>
                    <w:jc w:val="center"/>
                    <w:rPr>
                      <w:lang w:val="en-US"/>
                    </w:rPr>
                  </w:pPr>
                  <w:r>
                    <w:rPr>
                      <w:lang w:val="en-US"/>
                    </w:rPr>
                    <w:t>F</w:t>
                  </w:r>
                </w:p>
              </w:tc>
              <w:tc>
                <w:tcPr>
                  <w:tcW w:w="1385" w:type="dxa"/>
                </w:tcPr>
                <w:p>
                  <w:pPr>
                    <w:pStyle w:val="63"/>
                    <w:jc w:val="center"/>
                    <w:rPr>
                      <w:lang w:val="en-US" w:eastAsia="zh-CN"/>
                    </w:rPr>
                  </w:pPr>
                  <w:r>
                    <w:rPr>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36" w:type="dxa"/>
                </w:tcPr>
                <w:p>
                  <w:pPr>
                    <w:pStyle w:val="63"/>
                    <w:rPr>
                      <w:rFonts w:ascii="Courier New" w:hAnsi="Courier New" w:cs="Courier New"/>
                      <w:lang w:val="en-US" w:eastAsia="zh-CN"/>
                    </w:rPr>
                  </w:pPr>
                  <w:r>
                    <w:rPr>
                      <w:rFonts w:ascii="Courier New" w:hAnsi="Courier New" w:cs="Courier New"/>
                      <w:lang w:val="en-US" w:eastAsia="zh-CN"/>
                    </w:rPr>
                    <w:t>rRMPolicyMemberList</w:t>
                  </w:r>
                </w:p>
              </w:tc>
              <w:tc>
                <w:tcPr>
                  <w:tcW w:w="992" w:type="dxa"/>
                </w:tcPr>
                <w:p>
                  <w:pPr>
                    <w:pStyle w:val="63"/>
                    <w:jc w:val="center"/>
                    <w:rPr>
                      <w:lang w:val="en-US" w:eastAsia="zh-CN"/>
                    </w:rPr>
                  </w:pPr>
                  <w:r>
                    <w:rPr>
                      <w:lang w:val="en-US" w:eastAsia="zh-CN"/>
                    </w:rPr>
                    <w:t>M</w:t>
                  </w:r>
                </w:p>
              </w:tc>
              <w:tc>
                <w:tcPr>
                  <w:tcW w:w="1276" w:type="dxa"/>
                </w:tcPr>
                <w:p>
                  <w:pPr>
                    <w:pStyle w:val="63"/>
                    <w:jc w:val="center"/>
                    <w:rPr>
                      <w:lang w:val="en-US"/>
                    </w:rPr>
                  </w:pPr>
                  <w:r>
                    <w:rPr>
                      <w:lang w:val="en-US"/>
                    </w:rPr>
                    <w:t>T</w:t>
                  </w:r>
                </w:p>
              </w:tc>
              <w:tc>
                <w:tcPr>
                  <w:tcW w:w="1134" w:type="dxa"/>
                </w:tcPr>
                <w:p>
                  <w:pPr>
                    <w:pStyle w:val="63"/>
                    <w:jc w:val="center"/>
                    <w:rPr>
                      <w:lang w:val="en-US"/>
                    </w:rPr>
                  </w:pPr>
                  <w:r>
                    <w:rPr>
                      <w:lang w:val="en-US"/>
                    </w:rPr>
                    <w:t>T</w:t>
                  </w:r>
                </w:p>
              </w:tc>
              <w:tc>
                <w:tcPr>
                  <w:tcW w:w="1134" w:type="dxa"/>
                </w:tcPr>
                <w:p>
                  <w:pPr>
                    <w:pStyle w:val="63"/>
                    <w:jc w:val="center"/>
                    <w:rPr>
                      <w:lang w:val="en-US"/>
                    </w:rPr>
                  </w:pPr>
                  <w:r>
                    <w:rPr>
                      <w:lang w:val="en-US"/>
                    </w:rPr>
                    <w:t>F</w:t>
                  </w:r>
                </w:p>
              </w:tc>
              <w:tc>
                <w:tcPr>
                  <w:tcW w:w="1385" w:type="dxa"/>
                </w:tcPr>
                <w:p>
                  <w:pPr>
                    <w:pStyle w:val="63"/>
                    <w:jc w:val="center"/>
                    <w:rPr>
                      <w:lang w:val="en-US" w:eastAsia="zh-CN"/>
                    </w:rPr>
                  </w:pPr>
                  <w:r>
                    <w:rPr>
                      <w:lang w:val="en-US" w:eastAsia="zh-CN"/>
                    </w:rPr>
                    <w:t>T</w:t>
                  </w:r>
                </w:p>
              </w:tc>
            </w:tr>
          </w:tbl>
          <w:p>
            <w:pPr>
              <w:rPr>
                <w:rFonts w:hint="eastAsia" w:cs="Times New Roman"/>
                <w:sz w:val="20"/>
                <w:szCs w:val="20"/>
                <w:highlight w:val="none"/>
                <w:u w:val="none"/>
                <w:lang w:val="en-US" w:eastAsia="zh-CN"/>
              </w:rPr>
            </w:pPr>
          </w:p>
          <w:p>
            <w:pPr>
              <w:rPr>
                <w:rFonts w:hint="eastAsia" w:cs="Times New Roman"/>
                <w:sz w:val="20"/>
                <w:szCs w:val="20"/>
                <w:highlight w:val="none"/>
                <w:u w:val="none"/>
                <w:vertAlign w:val="baseline"/>
                <w:lang w:val="en-US" w:eastAsia="zh-CN"/>
              </w:rPr>
            </w:pPr>
            <w:r>
              <w:rPr>
                <w:rFonts w:hint="eastAsia" w:cs="Times New Roman"/>
                <w:sz w:val="20"/>
                <w:szCs w:val="20"/>
                <w:highlight w:val="none"/>
                <w:u w:val="none"/>
                <w:lang w:val="en-US" w:eastAsia="zh-CN"/>
              </w:rPr>
              <w:t>-----------------------------------------------------------TS 28.541-------------------------------------------------------------------------</w:t>
            </w:r>
          </w:p>
        </w:tc>
      </w:tr>
    </w:tbl>
    <w:p>
      <w:pPr>
        <w:rPr>
          <w:rFonts w:hint="eastAsia" w:cs="Times New Roman"/>
          <w:sz w:val="20"/>
          <w:szCs w:val="20"/>
          <w:highlight w:val="none"/>
          <w:u w:val="none"/>
          <w:lang w:val="en-US" w:eastAsia="zh-CN"/>
        </w:rPr>
      </w:pPr>
    </w:p>
    <w:p>
      <w:pPr>
        <w:rPr>
          <w:rFonts w:hint="default" w:cs="Times New Roman"/>
          <w:color w:val="auto"/>
          <w:szCs w:val="20"/>
          <w:highlight w:val="none"/>
          <w:u w:val="none"/>
          <w:lang w:val="en-US" w:eastAsia="zh-CN"/>
        </w:rPr>
      </w:pPr>
      <w:r>
        <w:rPr>
          <w:rFonts w:hint="eastAsia" w:cs="Times New Roman"/>
          <w:szCs w:val="20"/>
          <w:highlight w:val="none"/>
          <w:u w:val="none"/>
          <w:lang w:val="en-US" w:eastAsia="zh-CN"/>
        </w:rPr>
        <w:t>In summary, from O&amp;M point of view, slice resource is one kind of RRM resource and can be allocated based on Operator</w:t>
      </w:r>
      <w:r>
        <w:rPr>
          <w:rFonts w:hint="default" w:cs="Times New Roman"/>
          <w:szCs w:val="20"/>
          <w:highlight w:val="none"/>
          <w:u w:val="none"/>
          <w:lang w:val="en-US" w:eastAsia="zh-CN"/>
        </w:rPr>
        <w:t>’</w:t>
      </w:r>
      <w:r>
        <w:rPr>
          <w:rFonts w:hint="eastAsia" w:cs="Times New Roman"/>
          <w:szCs w:val="20"/>
          <w:highlight w:val="none"/>
          <w:u w:val="none"/>
          <w:lang w:val="en-US" w:eastAsia="zh-CN"/>
        </w:rPr>
        <w:t xml:space="preserve">s policy. The metric to define each dedicated slice or shared slices can use at least three standardized types including PRB, RRC connections and DRB usage. Since control plane slice is not supported from Rel-15 in RAN, then RRC connections as slice level metric can be further discussed in Rel-17 SI. </w:t>
      </w:r>
      <w:r>
        <w:rPr>
          <w:rFonts w:hint="eastAsia" w:cs="Times New Roman"/>
          <w:color w:val="auto"/>
          <w:szCs w:val="20"/>
          <w:highlight w:val="none"/>
          <w:u w:val="none"/>
          <w:lang w:val="en-US" w:eastAsia="zh-CN"/>
        </w:rPr>
        <w:t xml:space="preserve">Therefore PRB and for DRB usage can be the the standard way to allocate and evaluate the slice resource in Rel-16. </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Observation : The slice level PRB usage and DRB usage which has been standardized in SA5 can be leveraged as load metrics in MLB report in Rel-17.</w:t>
      </w:r>
    </w:p>
    <w:p>
      <w:pPr>
        <w:rPr>
          <w:rFonts w:hint="eastAsia" w:cs="Times New Roman"/>
          <w:b/>
          <w:bCs/>
          <w:szCs w:val="20"/>
          <w:highlight w:val="none"/>
          <w:u w:val="none"/>
          <w:lang w:val="en-US" w:eastAsia="zh-CN"/>
        </w:rPr>
      </w:pPr>
    </w:p>
    <w:p>
      <w:pPr>
        <w:pStyle w:val="4"/>
        <w:bidi w:val="0"/>
        <w:rPr>
          <w:rFonts w:hint="default"/>
          <w:lang w:val="en-US" w:eastAsia="zh-CN"/>
        </w:rPr>
      </w:pPr>
      <w:r>
        <w:rPr>
          <w:rFonts w:hint="eastAsia"/>
          <w:lang w:val="en-US" w:eastAsia="zh-CN"/>
        </w:rPr>
        <w:t>How to calculate slice level resource usage</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As t</w:t>
      </w:r>
      <w:r>
        <w:rPr>
          <w:rFonts w:hint="eastAsia" w:eastAsia="宋体" w:cs="Times New Roman"/>
          <w:sz w:val="20"/>
          <w:szCs w:val="20"/>
          <w:highlight w:val="none"/>
          <w:u w:val="none"/>
          <w:lang w:val="en-US" w:eastAsia="zh-CN"/>
        </w:rPr>
        <w:t>he slice can be applied in both gNB-DU and gNB-CU-UP at the same time, the gNB-DU and gNB-CU-UP can share the capability of the slice</w:t>
      </w:r>
      <w:r>
        <w:rPr>
          <w:rFonts w:hint="eastAsia" w:cs="Times New Roman"/>
          <w:sz w:val="20"/>
          <w:szCs w:val="20"/>
          <w:highlight w:val="none"/>
          <w:u w:val="none"/>
          <w:lang w:val="en-US" w:eastAsia="zh-CN"/>
        </w:rPr>
        <w:t>, the slice level load should be supported over F1 and E1 respectively. Meanwhile, the slice level load of the whole gNB is also an useful parameter for MLB, the slice level load should also be supported over Xn. In detail, for F1, the slice level PRB usage should be supported for both uplink and downlink, while for E1, the slice level DRB usage should be supported. For Xn, both the slice level PRB usage and slice level DRB usage should be supported.</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As the slices can be shared by different network elements, the slice level PRB usage can be divided into dedicated slice level PRB usage and shared slice level PRB usage.</w:t>
      </w: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drawing>
          <wp:inline distT="0" distB="0" distL="114300" distR="114300">
            <wp:extent cx="6117590" cy="2468880"/>
            <wp:effectExtent l="0" t="0" r="0" b="0"/>
            <wp:docPr id="1" name="图片 1" descr="S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lice"/>
                    <pic:cNvPicPr>
                      <a:picLocks noChangeAspect="1"/>
                    </pic:cNvPicPr>
                  </pic:nvPicPr>
                  <pic:blipFill>
                    <a:blip r:embed="rId6"/>
                    <a:stretch>
                      <a:fillRect/>
                    </a:stretch>
                  </pic:blipFill>
                  <pic:spPr>
                    <a:xfrm>
                      <a:off x="0" y="0"/>
                      <a:ext cx="6117590" cy="2468880"/>
                    </a:xfrm>
                    <a:prstGeom prst="rect">
                      <a:avLst/>
                    </a:prstGeom>
                  </pic:spPr>
                </pic:pic>
              </a:graphicData>
            </a:graphic>
          </wp:inline>
        </w:drawing>
      </w:r>
    </w:p>
    <w:p>
      <w:pPr>
        <w:jc w:val="both"/>
        <w:rPr>
          <w:rFonts w:hint="eastAsia"/>
          <w:lang w:val="en-US" w:eastAsia="zh-CN"/>
        </w:rPr>
      </w:pPr>
      <w:r>
        <w:rPr>
          <w:rFonts w:hint="eastAsia"/>
          <w:lang w:val="en-US" w:eastAsia="zh-CN"/>
        </w:rPr>
        <w:t>To be more specific, an example can be given to help to explain the definition. As shown in the figure, the total resources of Cell A is 100PRB, and there are three slices with dedicated resource in the Cell A, i.e. Slice 1, Slice 2 and Slice 3. The dedicated resource for Slice1 is 30PRB, the dedicated resource for Slice 2 is 30PRB, the dedicated resource for Slice 3 is 30PRB, and there are two shared resource block by the three slices is 10PRB. In this case, the dedicated resource cannot used by other slice, however, the shared resource can be shared by different slices. For example, If the Slice 1 has occupied 2PRB resource out of the 5PRB shared resource A, the other slice can only occupy the remaining 3PRB resource.</w:t>
      </w:r>
    </w:p>
    <w:p>
      <w:pPr>
        <w:jc w:val="both"/>
        <w:rPr>
          <w:rFonts w:hint="eastAsia"/>
          <w:lang w:val="en-US" w:eastAsia="zh-CN"/>
        </w:rPr>
      </w:pPr>
      <w:r>
        <w:rPr>
          <w:rFonts w:hint="eastAsia"/>
          <w:lang w:val="en-US" w:eastAsia="zh-CN"/>
        </w:rPr>
        <w:t>As shown in the figure, the slice usage per cell given by:</w:t>
      </w:r>
    </w:p>
    <w:p>
      <w:pPr>
        <w:jc w:val="both"/>
        <w:rPr>
          <w:rFonts w:hint="default"/>
          <w:lang w:val="en-US" w:eastAsia="zh-CN"/>
        </w:rPr>
      </w:pPr>
      <w:r>
        <w:rPr>
          <w:rFonts w:hint="eastAsia"/>
          <w:lang w:val="en-US" w:eastAsia="zh-CN"/>
        </w:rPr>
        <w:t xml:space="preserve">Dedicated part: </w:t>
      </w:r>
      <w:bookmarkStart w:id="46" w:name="_GoBack"/>
      <w:bookmarkEnd w:id="46"/>
    </w:p>
    <w:p>
      <w:pPr>
        <w:jc w:val="both"/>
        <w:rPr>
          <w:rFonts w:hint="default"/>
          <w:sz w:val="18"/>
          <w:szCs w:val="18"/>
          <w:lang w:val="en-US" w:eastAsia="zh-CN"/>
        </w:rPr>
      </w:pPr>
      <w:r>
        <w:rPr>
          <w:rFonts w:hint="eastAsia"/>
          <w:sz w:val="18"/>
          <w:szCs w:val="18"/>
          <w:lang w:val="en-US" w:eastAsia="zh-CN"/>
        </w:rPr>
        <w:t xml:space="preserve">The CAC of Slice1 </w:t>
      </w:r>
      <w:r>
        <w:rPr>
          <w:rFonts w:hint="default"/>
          <w:sz w:val="18"/>
          <w:szCs w:val="18"/>
          <w:lang w:val="en-US" w:eastAsia="zh-CN"/>
        </w:rPr>
        <w:t>=</w:t>
      </w:r>
      <w:r>
        <w:rPr>
          <w:rFonts w:hint="eastAsia"/>
          <w:sz w:val="18"/>
          <w:szCs w:val="18"/>
          <w:lang w:val="en-US" w:eastAsia="zh-CN"/>
        </w:rPr>
        <w:t>18</w:t>
      </w:r>
      <w:r>
        <w:rPr>
          <w:rFonts w:hint="default"/>
          <w:sz w:val="18"/>
          <w:szCs w:val="18"/>
          <w:lang w:val="en-US" w:eastAsia="zh-CN"/>
        </w:rPr>
        <w:t>/</w:t>
      </w:r>
      <w:r>
        <w:rPr>
          <w:rFonts w:hint="eastAsia"/>
          <w:sz w:val="18"/>
          <w:szCs w:val="18"/>
          <w:lang w:val="en-US" w:eastAsia="zh-CN"/>
        </w:rPr>
        <w:t>30=60%;</w:t>
      </w:r>
      <w:r>
        <w:rPr>
          <w:rFonts w:hint="default"/>
          <w:sz w:val="18"/>
          <w:szCs w:val="18"/>
          <w:lang w:val="en-US" w:eastAsia="zh-CN"/>
        </w:rPr>
        <w:t xml:space="preserve"> </w:t>
      </w:r>
    </w:p>
    <w:p>
      <w:pPr>
        <w:jc w:val="both"/>
        <w:rPr>
          <w:rFonts w:hint="default"/>
          <w:sz w:val="18"/>
          <w:szCs w:val="18"/>
          <w:lang w:val="en-US" w:eastAsia="zh-CN"/>
        </w:rPr>
      </w:pPr>
      <w:r>
        <w:rPr>
          <w:rFonts w:hint="eastAsia"/>
          <w:sz w:val="18"/>
          <w:szCs w:val="18"/>
          <w:lang w:val="en-US" w:eastAsia="zh-CN"/>
        </w:rPr>
        <w:t>The CAC of Slice2 =12/30=40%;</w:t>
      </w:r>
    </w:p>
    <w:p>
      <w:pPr>
        <w:jc w:val="both"/>
        <w:rPr>
          <w:rFonts w:hint="eastAsia"/>
          <w:sz w:val="18"/>
          <w:szCs w:val="18"/>
          <w:lang w:val="en-US" w:eastAsia="zh-CN"/>
        </w:rPr>
      </w:pPr>
      <w:r>
        <w:rPr>
          <w:rFonts w:hint="eastAsia"/>
          <w:sz w:val="18"/>
          <w:szCs w:val="18"/>
          <w:lang w:val="en-US" w:eastAsia="zh-CN"/>
        </w:rPr>
        <w:t xml:space="preserve">The CAC of Slice3 </w:t>
      </w:r>
      <w:r>
        <w:rPr>
          <w:rFonts w:hint="default"/>
          <w:sz w:val="18"/>
          <w:szCs w:val="18"/>
          <w:lang w:val="en-US" w:eastAsia="zh-CN"/>
        </w:rPr>
        <w:t>=</w:t>
      </w:r>
      <w:r>
        <w:rPr>
          <w:rFonts w:hint="eastAsia"/>
          <w:sz w:val="18"/>
          <w:szCs w:val="18"/>
          <w:lang w:val="en-US" w:eastAsia="zh-CN"/>
        </w:rPr>
        <w:t>15</w:t>
      </w:r>
      <w:r>
        <w:rPr>
          <w:rFonts w:hint="default"/>
          <w:sz w:val="18"/>
          <w:szCs w:val="18"/>
          <w:lang w:val="en-US" w:eastAsia="zh-CN"/>
        </w:rPr>
        <w:t>/</w:t>
      </w:r>
      <w:r>
        <w:rPr>
          <w:rFonts w:hint="eastAsia"/>
          <w:sz w:val="18"/>
          <w:szCs w:val="18"/>
          <w:lang w:val="en-US" w:eastAsia="zh-CN"/>
        </w:rPr>
        <w:t>30=50%.</w:t>
      </w:r>
    </w:p>
    <w:p>
      <w:pPr>
        <w:jc w:val="both"/>
        <w:rPr>
          <w:rFonts w:hint="default"/>
          <w:sz w:val="18"/>
          <w:szCs w:val="18"/>
          <w:lang w:val="en-US" w:eastAsia="zh-CN"/>
        </w:rPr>
      </w:pPr>
      <w:r>
        <w:rPr>
          <w:rFonts w:hint="eastAsia"/>
          <w:sz w:val="18"/>
          <w:szCs w:val="18"/>
          <w:lang w:val="en-US" w:eastAsia="zh-CN"/>
        </w:rPr>
        <w:t>Shared part:</w:t>
      </w:r>
    </w:p>
    <w:p>
      <w:pPr>
        <w:jc w:val="both"/>
        <w:rPr>
          <w:rFonts w:hint="default"/>
          <w:lang w:val="en-US" w:eastAsia="zh-CN"/>
        </w:rPr>
      </w:pPr>
      <w:r>
        <w:rPr>
          <w:rFonts w:hint="eastAsia"/>
          <w:sz w:val="18"/>
          <w:szCs w:val="18"/>
          <w:lang w:val="en-US" w:eastAsia="zh-CN"/>
        </w:rPr>
        <w:t xml:space="preserve">The CAC of Slice 1 </w:t>
      </w:r>
      <w:r>
        <w:rPr>
          <w:rFonts w:hint="default"/>
          <w:sz w:val="18"/>
          <w:szCs w:val="18"/>
          <w:lang w:val="en-US" w:eastAsia="zh-CN"/>
        </w:rPr>
        <w:t>=</w:t>
      </w:r>
      <w:r>
        <w:rPr>
          <w:rFonts w:hint="eastAsia"/>
          <w:sz w:val="18"/>
          <w:szCs w:val="18"/>
          <w:lang w:val="en-US" w:eastAsia="zh-CN"/>
        </w:rPr>
        <w:t>60%</w:t>
      </w:r>
    </w:p>
    <w:p>
      <w:pPr>
        <w:jc w:val="both"/>
        <w:rPr>
          <w:rFonts w:hint="eastAsia"/>
          <w:sz w:val="18"/>
          <w:szCs w:val="18"/>
          <w:highlight w:val="none"/>
          <w:lang w:val="en-US" w:eastAsia="zh-CN"/>
        </w:rPr>
      </w:pPr>
      <w:r>
        <w:rPr>
          <w:rFonts w:hint="eastAsia"/>
          <w:sz w:val="18"/>
          <w:szCs w:val="18"/>
          <w:lang w:val="en-US" w:eastAsia="zh-CN"/>
        </w:rPr>
        <w:t xml:space="preserve">The CAC of Slice 1 </w:t>
      </w:r>
      <w:r>
        <w:rPr>
          <w:rFonts w:hint="default"/>
          <w:sz w:val="18"/>
          <w:szCs w:val="18"/>
          <w:lang w:val="en-US" w:eastAsia="zh-CN"/>
        </w:rPr>
        <w:t>=</w:t>
      </w:r>
      <w:r>
        <w:rPr>
          <w:rFonts w:hint="eastAsia"/>
          <w:sz w:val="18"/>
          <w:szCs w:val="18"/>
          <w:lang w:val="en-US" w:eastAsia="zh-CN"/>
        </w:rPr>
        <w:t>70%</w:t>
      </w:r>
      <w:r>
        <w:rPr>
          <w:rFonts w:hint="eastAsia"/>
          <w:sz w:val="18"/>
          <w:szCs w:val="18"/>
          <w:highlight w:val="none"/>
          <w:lang w:val="en-US" w:eastAsia="zh-CN"/>
        </w:rPr>
        <w:t>.</w:t>
      </w:r>
    </w:p>
    <w:p>
      <w:pPr>
        <w:jc w:val="both"/>
        <w:rPr>
          <w:rFonts w:hint="default"/>
          <w:sz w:val="20"/>
          <w:szCs w:val="20"/>
          <w:highlight w:val="none"/>
          <w:lang w:val="en-US" w:eastAsia="zh-CN"/>
        </w:rPr>
      </w:pPr>
      <w:r>
        <w:rPr>
          <w:rFonts w:hint="eastAsia"/>
          <w:sz w:val="20"/>
          <w:szCs w:val="20"/>
          <w:highlight w:val="none"/>
          <w:lang w:val="en-US" w:eastAsia="zh-CN"/>
        </w:rPr>
        <w:t xml:space="preserve">It is easy to see that although slice almost occupies all pre-configured dedicated resource, the amount of shared resource still enables slice 1 to be the candidate for load balance. </w:t>
      </w:r>
    </w:p>
    <w:p>
      <w:pPr>
        <w:rPr>
          <w:rFonts w:hint="default"/>
          <w:sz w:val="20"/>
          <w:szCs w:val="20"/>
          <w:lang w:val="en-US" w:eastAsia="zh-CN"/>
        </w:rPr>
      </w:pPr>
      <w:bookmarkStart w:id="44" w:name="OLE_LINK5"/>
      <w:r>
        <w:rPr>
          <w:rFonts w:hint="eastAsia"/>
          <w:b/>
          <w:bCs/>
          <w:highlight w:val="none"/>
          <w:u w:val="none"/>
          <w:lang w:val="en-US" w:eastAsia="zh-CN"/>
        </w:rPr>
        <w:t>Proposal 2: Introduce slice level  PRB and DRB usage as metric in XnAP, and introduce PRB metric as F1AP  and introduce DRB usage as slice metric in E1AP.</w:t>
      </w:r>
      <w:bookmarkEnd w:id="44"/>
    </w:p>
    <w:bookmarkEnd w:id="3"/>
    <w:bookmarkEnd w:id="4"/>
    <w:bookmarkEnd w:id="5"/>
    <w:p>
      <w:pPr>
        <w:pStyle w:val="2"/>
        <w:rPr>
          <w:lang w:val="en-US"/>
        </w:rPr>
      </w:pPr>
      <w:r>
        <w:rPr>
          <w:rFonts w:hint="eastAsia" w:eastAsia="宋体"/>
          <w:lang w:val="en-US" w:eastAsia="zh-CN"/>
        </w:rPr>
        <w:t>Conclusion</w:t>
      </w:r>
    </w:p>
    <w:p>
      <w:pPr>
        <w:rPr>
          <w:rFonts w:hint="eastAsia"/>
          <w:b/>
          <w:bCs/>
          <w:highlight w:val="none"/>
          <w:u w:val="none"/>
          <w:lang w:val="en-US" w:eastAsia="zh-CN"/>
        </w:rPr>
      </w:pPr>
      <w:r>
        <w:rPr>
          <w:rFonts w:hint="eastAsia"/>
          <w:b/>
          <w:bCs/>
          <w:highlight w:val="none"/>
          <w:u w:val="none"/>
          <w:lang w:val="en-US" w:eastAsia="zh-CN"/>
        </w:rPr>
        <w:t>Proposal 1: The TNL load for both fronthaul and backhaul links should be reported  over X2 and Xn.</w:t>
      </w:r>
    </w:p>
    <w:p>
      <w:pPr>
        <w:rPr>
          <w:rFonts w:hint="eastAsia"/>
          <w:b/>
          <w:bCs/>
          <w:highlight w:val="none"/>
          <w:u w:val="none"/>
          <w:lang w:val="en-US" w:eastAsia="zh-CN"/>
        </w:rPr>
      </w:pPr>
      <w:r>
        <w:rPr>
          <w:rFonts w:hint="eastAsia"/>
          <w:b/>
          <w:bCs/>
          <w:highlight w:val="none"/>
          <w:u w:val="none"/>
          <w:lang w:val="en-US" w:eastAsia="zh-CN"/>
        </w:rPr>
        <w:t>Proposal 2: Introduce slice level  PRB and DRB usage as metric in XnAP, and introduce PRB metric as F1AP  and introduce DRB usage as slice metric in E1AP.</w:t>
      </w:r>
    </w:p>
    <w:p>
      <w:pPr>
        <w:rPr>
          <w:rFonts w:hint="default"/>
          <w:b/>
          <w:bCs/>
          <w:highlight w:val="none"/>
          <w:u w:val="none"/>
          <w:lang w:val="en-US" w:eastAsia="zh-CN"/>
        </w:rPr>
      </w:pPr>
      <w:r>
        <w:rPr>
          <w:rFonts w:hint="eastAsia"/>
          <w:b/>
          <w:bCs/>
          <w:highlight w:val="none"/>
          <w:u w:val="none"/>
          <w:lang w:val="en-US" w:eastAsia="zh-CN"/>
        </w:rPr>
        <w:t>The corresponding CRs of different interfaces are provided in [2][3][4][5].</w:t>
      </w:r>
    </w:p>
    <w:p>
      <w:pPr>
        <w:pStyle w:val="2"/>
        <w:bidi w:val="0"/>
        <w:rPr>
          <w:lang w:val="en-US"/>
        </w:rPr>
      </w:pPr>
      <w:r>
        <w:rPr>
          <w:rFonts w:hint="eastAsia"/>
          <w:lang w:val="en-US" w:eastAsia="zh-CN"/>
        </w:rPr>
        <w:t xml:space="preserve"> </w:t>
      </w:r>
      <w:r>
        <w:rPr>
          <w:lang w:val="en-US"/>
        </w:rPr>
        <w:t>References</w:t>
      </w:r>
    </w:p>
    <w:p>
      <w:pPr>
        <w:numPr>
          <w:ilvl w:val="0"/>
          <w:numId w:val="12"/>
        </w:numPr>
        <w:rPr>
          <w:rFonts w:hint="eastAsia"/>
          <w:lang w:val="en-US" w:eastAsia="zh-CN"/>
        </w:rPr>
      </w:pPr>
      <w:bookmarkStart w:id="45" w:name="OLE_LINK1"/>
      <w:r>
        <w:rPr>
          <w:rFonts w:hint="eastAsia"/>
          <w:sz w:val="21"/>
          <w:szCs w:val="22"/>
          <w:lang w:val="en-US" w:eastAsia="zh-CN"/>
        </w:rPr>
        <w:fldChar w:fldCharType="begin"/>
      </w:r>
      <w:r>
        <w:rPr>
          <w:rFonts w:hint="eastAsia"/>
          <w:sz w:val="21"/>
          <w:szCs w:val="22"/>
          <w:lang w:val="en-US" w:eastAsia="zh-CN"/>
        </w:rPr>
        <w:instrText xml:space="preserve"> HYPERLINK "Docs\\R3-201832.zip" </w:instrText>
      </w:r>
      <w:r>
        <w:rPr>
          <w:rFonts w:hint="eastAsia"/>
          <w:sz w:val="21"/>
          <w:szCs w:val="22"/>
          <w:lang w:val="en-US" w:eastAsia="zh-CN"/>
        </w:rPr>
        <w:fldChar w:fldCharType="separate"/>
      </w:r>
      <w:r>
        <w:rPr>
          <w:rFonts w:hint="eastAsia"/>
          <w:sz w:val="21"/>
          <w:szCs w:val="22"/>
          <w:lang w:val="en-US" w:eastAsia="zh-CN"/>
        </w:rPr>
        <w:t>R3-201832</w:t>
      </w:r>
      <w:r>
        <w:rPr>
          <w:rFonts w:hint="eastAsia"/>
          <w:sz w:val="21"/>
          <w:szCs w:val="22"/>
          <w:lang w:val="en-US" w:eastAsia="zh-CN"/>
        </w:rPr>
        <w:fldChar w:fldCharType="end"/>
      </w:r>
      <w:r>
        <w:rPr>
          <w:rFonts w:hint="eastAsia"/>
          <w:sz w:val="21"/>
          <w:szCs w:val="22"/>
          <w:lang w:val="en-US" w:eastAsia="zh-CN"/>
        </w:rPr>
        <w:t xml:space="preserve"> Load reporting metric per slice for improved interoperability  Nokia, Nokia Shanghai Bell</w:t>
      </w:r>
    </w:p>
    <w:p>
      <w:pPr>
        <w:numPr>
          <w:ilvl w:val="0"/>
          <w:numId w:val="12"/>
        </w:numPr>
        <w:rPr>
          <w:rFonts w:hint="eastAsia"/>
          <w:lang w:val="en-US" w:eastAsia="zh-CN"/>
        </w:rPr>
      </w:pPr>
      <w:r>
        <w:rPr>
          <w:rFonts w:hint="eastAsia"/>
          <w:lang w:val="en-US" w:eastAsia="zh-CN"/>
        </w:rPr>
        <w:t>CR for TS 36.423 on Load Balancing Enhancements  ZTE</w:t>
      </w:r>
    </w:p>
    <w:p>
      <w:pPr>
        <w:numPr>
          <w:ilvl w:val="0"/>
          <w:numId w:val="12"/>
        </w:numPr>
        <w:rPr>
          <w:rFonts w:hint="eastAsia"/>
          <w:lang w:val="en-US" w:eastAsia="zh-CN"/>
        </w:rPr>
      </w:pPr>
      <w:r>
        <w:rPr>
          <w:rFonts w:hint="eastAsia"/>
          <w:lang w:val="en-US" w:eastAsia="zh-CN"/>
        </w:rPr>
        <w:t>CR for TS 38.423 on Load Balancing Enhancements  ZTE</w:t>
      </w:r>
    </w:p>
    <w:p>
      <w:pPr>
        <w:numPr>
          <w:ilvl w:val="0"/>
          <w:numId w:val="12"/>
        </w:numPr>
        <w:rPr>
          <w:rFonts w:hint="eastAsia"/>
          <w:lang w:val="en-US" w:eastAsia="zh-CN"/>
        </w:rPr>
      </w:pPr>
      <w:r>
        <w:rPr>
          <w:rFonts w:hint="eastAsia"/>
          <w:lang w:val="en-US" w:eastAsia="zh-CN"/>
        </w:rPr>
        <w:t>CR for TS 38.463 on Load Balancing Enhancements  ZTE</w:t>
      </w:r>
    </w:p>
    <w:p>
      <w:pPr>
        <w:numPr>
          <w:ilvl w:val="0"/>
          <w:numId w:val="12"/>
        </w:numPr>
        <w:rPr>
          <w:rFonts w:hint="eastAsia"/>
          <w:lang w:val="en-US" w:eastAsia="zh-CN"/>
        </w:rPr>
      </w:pPr>
      <w:r>
        <w:rPr>
          <w:rFonts w:hint="eastAsia"/>
          <w:lang w:val="en-US" w:eastAsia="zh-CN"/>
        </w:rPr>
        <w:t>CR for TS 38.473 on Load Balancing Enhancements  ZTE</w:t>
      </w:r>
    </w:p>
    <w:bookmarkEnd w:id="45"/>
    <w:p>
      <w:pPr>
        <w:numPr>
          <w:ilvl w:val="0"/>
          <w:numId w:val="0"/>
        </w:numPr>
        <w:rPr>
          <w:rFonts w:hint="default"/>
          <w:lang w:val="en-US" w:eastAsia="zh-CN"/>
        </w:rPr>
      </w:pPr>
    </w:p>
    <w:p>
      <w:p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F1E74E"/>
    <w:multiLevelType w:val="singleLevel"/>
    <w:tmpl w:val="D8F1E74E"/>
    <w:lvl w:ilvl="0" w:tentative="0">
      <w:start w:val="17"/>
      <w:numFmt w:val="decimal"/>
      <w:suff w:val="space"/>
      <w:lvlText w:val="%1-"/>
      <w:lvlJc w:val="left"/>
    </w:lvl>
  </w:abstractNum>
  <w:abstractNum w:abstractNumId="1">
    <w:nsid w:val="DE2D229E"/>
    <w:multiLevelType w:val="singleLevel"/>
    <w:tmpl w:val="DE2D229E"/>
    <w:lvl w:ilvl="0" w:tentative="0">
      <w:start w:val="1"/>
      <w:numFmt w:val="decimal"/>
      <w:suff w:val="space"/>
      <w:lvlText w:val="[%1]"/>
      <w:lvlJc w:val="left"/>
    </w:lvl>
  </w:abstractNum>
  <w:abstractNum w:abstractNumId="2">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2"/>
  </w:num>
  <w:num w:numId="5">
    <w:abstractNumId w:val="8"/>
  </w:num>
  <w:num w:numId="6">
    <w:abstractNumId w:val="7"/>
  </w:num>
  <w:num w:numId="7">
    <w:abstractNumId w:val="5"/>
  </w:num>
  <w:num w:numId="8">
    <w:abstractNumId w:val="9"/>
  </w:num>
  <w:num w:numId="9">
    <w:abstractNumId w:val="6"/>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671F5A"/>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D4695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5E12ED"/>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29285D"/>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2B4789"/>
    <w:rsid w:val="2D4C1636"/>
    <w:rsid w:val="2D4E266A"/>
    <w:rsid w:val="2D5A6D9B"/>
    <w:rsid w:val="2DB40F60"/>
    <w:rsid w:val="2E2F6AFD"/>
    <w:rsid w:val="2E4E2817"/>
    <w:rsid w:val="2E7528B1"/>
    <w:rsid w:val="2EC36F08"/>
    <w:rsid w:val="2EEE69D4"/>
    <w:rsid w:val="2F382857"/>
    <w:rsid w:val="2F550CAE"/>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4877A4"/>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E257D4D"/>
    <w:rsid w:val="3E3C63BD"/>
    <w:rsid w:val="3EFA184D"/>
    <w:rsid w:val="3F9848F1"/>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012E5"/>
    <w:rsid w:val="4BDC7073"/>
    <w:rsid w:val="4CD654C8"/>
    <w:rsid w:val="4CEE08C2"/>
    <w:rsid w:val="4D21667A"/>
    <w:rsid w:val="4D51419A"/>
    <w:rsid w:val="4D762244"/>
    <w:rsid w:val="4D8041FD"/>
    <w:rsid w:val="4D854F67"/>
    <w:rsid w:val="4DB00E91"/>
    <w:rsid w:val="4DE52B9E"/>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B51063"/>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3F75AE"/>
    <w:rsid w:val="65436FF0"/>
    <w:rsid w:val="655E4198"/>
    <w:rsid w:val="65D265A8"/>
    <w:rsid w:val="65F10A6F"/>
    <w:rsid w:val="65F44DB7"/>
    <w:rsid w:val="65FE57FF"/>
    <w:rsid w:val="662156A1"/>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4E10BB2"/>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10</TotalTime>
  <ScaleCrop>false</ScaleCrop>
  <LinksUpToDate>false</LinksUpToDate>
  <CharactersWithSpaces>5001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2020-08-07T06:19:25Z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2052-11.8.2.8696</vt:lpwstr>
  </property>
</Properties>
</file>